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431800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466090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April, 2021</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080"/>
        <w:spacing w:after="0" w:line="207" w:lineRule="exact"/>
        <w:tabs>
          <w:tab w:leader="none" w:pos="61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4600"/>
        <w:spacing w:after="0" w:line="207" w:lineRule="exact"/>
        <w:tabs>
          <w:tab w:leader="none" w:pos="61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4600"/>
        <w:spacing w:after="0" w:line="207" w:lineRule="exact"/>
        <w:tabs>
          <w:tab w:leader="none" w:pos="61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99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29, 2021</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By:</w:t>
            </w:r>
          </w:p>
        </w:tc>
        <w:tc>
          <w:tcPr>
            <w:tcW w:w="5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00" w:type="dxa"/>
            <w:vAlign w:val="bottom"/>
          </w:tcPr>
          <w:p>
            <w:pPr>
              <w:ind w:left="5640"/>
              <w:spacing w:after="0" w:line="195" w:lineRule="exact"/>
              <w:rPr>
                <w:sz w:val="20"/>
                <w:szCs w:val="20"/>
                <w:color w:val="auto"/>
              </w:rPr>
            </w:pPr>
            <w:r>
              <w:rPr>
                <w:rFonts w:ascii="Arial" w:cs="Arial" w:eastAsia="Arial" w:hAnsi="Arial"/>
                <w:sz w:val="18"/>
                <w:szCs w:val="18"/>
                <w:color w:val="auto"/>
              </w:rPr>
              <w:t>Name:</w:t>
            </w:r>
          </w:p>
        </w:tc>
        <w:tc>
          <w:tcPr>
            <w:tcW w:w="50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Title:</w:t>
            </w:r>
          </w:p>
        </w:tc>
        <w:tc>
          <w:tcPr>
            <w:tcW w:w="50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2917190</wp:posOffset>
            </wp:positionH>
            <wp:positionV relativeFrom="page">
              <wp:posOffset>586105</wp:posOffset>
            </wp:positionV>
            <wp:extent cx="1722755" cy="7118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722755" cy="711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FILES ANNUAL REPORT ON FORM 20-F</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April 29, 2021 </w:t>
      </w:r>
      <w:r>
        <w:rPr>
          <w:rFonts w:ascii="Arial" w:cs="Arial" w:eastAsia="Arial" w:hAnsi="Arial"/>
          <w:sz w:val="18"/>
          <w:szCs w:val="18"/>
          <w:color w:val="auto"/>
        </w:rPr>
        <w:t>- Banco Latinoamericano de Comercio Exterior, S.A. (“Bladex” or “the Bank”) announced today that</w:t>
      </w:r>
      <w:r>
        <w:rPr>
          <w:rFonts w:ascii="Arial" w:cs="Arial" w:eastAsia="Arial" w:hAnsi="Arial"/>
          <w:sz w:val="18"/>
          <w:szCs w:val="18"/>
          <w:b w:val="1"/>
          <w:bCs w:val="1"/>
          <w:color w:val="auto"/>
        </w:rPr>
        <w:t xml:space="preserve"> </w:t>
      </w:r>
      <w:r>
        <w:rPr>
          <w:rFonts w:ascii="Arial" w:cs="Arial" w:eastAsia="Arial" w:hAnsi="Arial"/>
          <w:sz w:val="18"/>
          <w:szCs w:val="18"/>
          <w:color w:val="auto"/>
        </w:rPr>
        <w:t>the Bank filed its annual report on Form 20-F for the fiscal year ended December 31, 2020 (the “2020 Annual Report”) with the U.S. Securities and Exchange Commission (the “SEC”).</w:t>
      </w:r>
    </w:p>
    <w:p>
      <w:pPr>
        <w:spacing w:after="0" w:line="18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 xml:space="preserve">The 2020 Annual Report and audited financial statements can be accessed by visiting either the SEC’s website at </w:t>
      </w:r>
      <w:r>
        <w:rPr>
          <w:rFonts w:ascii="Arial" w:cs="Arial" w:eastAsia="Arial" w:hAnsi="Arial"/>
          <w:sz w:val="18"/>
          <w:szCs w:val="18"/>
          <w:u w:val="single" w:color="auto"/>
          <w:color w:val="auto"/>
        </w:rPr>
        <w:t>www.sec.gov</w:t>
      </w:r>
      <w:r>
        <w:rPr>
          <w:rFonts w:ascii="Arial" w:cs="Arial" w:eastAsia="Arial" w:hAnsi="Arial"/>
          <w:sz w:val="18"/>
          <w:szCs w:val="18"/>
          <w:color w:val="auto"/>
        </w:rPr>
        <w:t xml:space="preserve"> or Bladex’s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The Bank can also provide a copy of the Bank’s audited financial statements or annual report on Form 20-F, upon a written request and without charge.</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32320" cy="6343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634365"/>
                    </a:xfrm>
                    <a:prstGeom prst="rect">
                      <a:avLst/>
                    </a:prstGeom>
                    <a:noFill/>
                  </pic:spPr>
                </pic:pic>
              </a:graphicData>
            </a:graphic>
          </wp:anchor>
        </w:drawing>
      </w:r>
    </w:p>
    <w:p>
      <w:pPr>
        <w:spacing w:after="0" w:line="273" w:lineRule="exact"/>
        <w:rPr>
          <w:sz w:val="20"/>
          <w:szCs w:val="20"/>
          <w:color w:val="auto"/>
        </w:rPr>
      </w:pPr>
    </w:p>
    <w:p>
      <w:pPr>
        <w:ind w:left="8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8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8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8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477520</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2021-04-30T05:50:48Z</dcterms:created>
  <dcterms:modified xsi:type="dcterms:W3CDTF">2021-04-30T05:50:48Z</dcterms:modified>
</cp:coreProperties>
</file>